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6A5" w:rsidRPr="00180C2D" w:rsidRDefault="005826A5" w:rsidP="00152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tbl>
      <w:tblPr>
        <w:tblStyle w:val="ab"/>
        <w:tblW w:w="0" w:type="auto"/>
        <w:tblLook w:val="04A0"/>
      </w:tblPr>
      <w:tblGrid>
        <w:gridCol w:w="3681"/>
        <w:gridCol w:w="7082"/>
      </w:tblGrid>
      <w:tr w:rsidR="00180C2D" w:rsidRPr="00180C2D" w:rsidTr="000D7245">
        <w:tc>
          <w:tcPr>
            <w:tcW w:w="10763" w:type="dxa"/>
            <w:gridSpan w:val="2"/>
          </w:tcPr>
          <w:p w:rsidR="00180C2D" w:rsidRPr="00180C2D" w:rsidRDefault="00180C2D" w:rsidP="00180C2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180C2D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      </w:r>
          </w:p>
          <w:p w:rsidR="00180C2D" w:rsidRPr="00180C2D" w:rsidRDefault="00180C2D" w:rsidP="00180C2D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80C2D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(ідентифікатор відкритих торгів </w:t>
            </w:r>
            <w:r w:rsidR="00F6749D" w:rsidRPr="00F6749D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UA-2021-11-03-007284-a</w:t>
            </w:r>
            <w:r w:rsidRPr="00180C2D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)</w:t>
            </w:r>
          </w:p>
        </w:tc>
      </w:tr>
      <w:tr w:rsidR="005826A5" w:rsidRPr="00EA7FD0" w:rsidTr="007D63FB">
        <w:tc>
          <w:tcPr>
            <w:tcW w:w="3681" w:type="dxa"/>
          </w:tcPr>
          <w:p w:rsidR="005826A5" w:rsidRPr="00180C2D" w:rsidRDefault="005826A5" w:rsidP="0015254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180C2D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Назва предмету закупівлі</w:t>
            </w:r>
          </w:p>
        </w:tc>
        <w:tc>
          <w:tcPr>
            <w:tcW w:w="7082" w:type="dxa"/>
          </w:tcPr>
          <w:p w:rsidR="005826A5" w:rsidRPr="00180C2D" w:rsidRDefault="00F6749D" w:rsidP="00152548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proofErr w:type="spellStart"/>
            <w:r w:rsidRPr="00F6749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Отоакустичний</w:t>
            </w:r>
            <w:proofErr w:type="spellEnd"/>
            <w:r w:rsidRPr="00F6749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інструмент емісії за кодом </w:t>
            </w:r>
            <w:proofErr w:type="spellStart"/>
            <w:r w:rsidRPr="00F6749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ДК</w:t>
            </w:r>
            <w:proofErr w:type="spellEnd"/>
            <w:r w:rsidRPr="00F6749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021:2015: 33120000-7 — Системи реєстрації медичної інформації та дослідне обладнання, НК 024:2019: 36908 — </w:t>
            </w:r>
            <w:proofErr w:type="spellStart"/>
            <w:r w:rsidRPr="00F6749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Отоакустичний</w:t>
            </w:r>
            <w:proofErr w:type="spellEnd"/>
            <w:r w:rsidRPr="00F6749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інструмент емісії, </w:t>
            </w:r>
            <w:proofErr w:type="spellStart"/>
            <w:r w:rsidRPr="00F6749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ДК</w:t>
            </w:r>
            <w:proofErr w:type="spellEnd"/>
            <w:r w:rsidRPr="00F6749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021:2015: 33121400-8 — Аудіометри</w:t>
            </w:r>
          </w:p>
        </w:tc>
      </w:tr>
      <w:tr w:rsidR="005826A5" w:rsidRPr="00180C2D" w:rsidTr="007D63FB">
        <w:tc>
          <w:tcPr>
            <w:tcW w:w="3681" w:type="dxa"/>
          </w:tcPr>
          <w:p w:rsidR="005826A5" w:rsidRPr="00180C2D" w:rsidRDefault="005826A5" w:rsidP="005826A5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180C2D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Обґрунтування розміру бюджетного призначення: </w:t>
            </w:r>
          </w:p>
        </w:tc>
        <w:tc>
          <w:tcPr>
            <w:tcW w:w="7082" w:type="dxa"/>
          </w:tcPr>
          <w:p w:rsidR="005826A5" w:rsidRPr="00180C2D" w:rsidRDefault="005826A5" w:rsidP="00383984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80C2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Розмір бюджетного призначення визначений відповідно до</w:t>
            </w:r>
            <w:r w:rsidR="00712CE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Річного плану за </w:t>
            </w:r>
            <w:r w:rsidR="00712CE1" w:rsidRPr="007E2FD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посиланням </w:t>
            </w:r>
            <w:hyperlink r:id="rId7" w:history="1">
              <w:r w:rsidR="007E2FD7" w:rsidRPr="007E2F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8"/>
                  <w:lang w:val="uk-UA"/>
                </w:rPr>
                <w:t>https://prozorro.gov.ua/plan/UA-P-2021-11-03-007109-a</w:t>
              </w:r>
            </w:hyperlink>
            <w:r w:rsidR="007E2FD7" w:rsidRPr="007E2FD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 у розмірі 250 000,00 грн. (двісті п’ятдесят тисяч  гривень  00 копійок)</w:t>
            </w:r>
            <w:r w:rsidR="007E2FD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</w:t>
            </w:r>
            <w:bookmarkStart w:id="0" w:name="_GoBack"/>
            <w:bookmarkEnd w:id="0"/>
          </w:p>
        </w:tc>
      </w:tr>
      <w:tr w:rsidR="005826A5" w:rsidRPr="00EA7FD0" w:rsidTr="007D63FB">
        <w:tc>
          <w:tcPr>
            <w:tcW w:w="3681" w:type="dxa"/>
          </w:tcPr>
          <w:p w:rsidR="005826A5" w:rsidRPr="00180C2D" w:rsidRDefault="003C05E1" w:rsidP="0015254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180C2D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Обґрунтування очікуваної вартості предмета закупівлі</w:t>
            </w:r>
            <w:r w:rsidR="00180C2D" w:rsidRPr="00180C2D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7082" w:type="dxa"/>
          </w:tcPr>
          <w:p w:rsidR="003C05E1" w:rsidRDefault="003C05E1" w:rsidP="003C05E1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80C2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Розмір очікуваної вартості</w:t>
            </w:r>
            <w:r w:rsidR="00180C2D" w:rsidRPr="00180C2D">
              <w:rPr>
                <w:sz w:val="20"/>
              </w:rPr>
              <w:t xml:space="preserve"> </w:t>
            </w:r>
            <w:r w:rsidR="00180C2D" w:rsidRPr="00180C2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у розмірі </w:t>
            </w:r>
            <w:r w:rsidR="00F6749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250</w:t>
            </w:r>
            <w:r w:rsidR="00180C2D" w:rsidRPr="00180C2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000,00 грн. (</w:t>
            </w:r>
            <w:r w:rsidR="0038398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двісті п’ятдесят тисяч</w:t>
            </w:r>
            <w:r w:rsidR="00180C2D" w:rsidRPr="00180C2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 гривень  00 копійок) з ПДВ був </w:t>
            </w:r>
            <w:r w:rsidRPr="00180C2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визначений відповідно до Наказу Міністерства розвитку економіки, торгівлі та сільського господарства від 18.02.2020  № 275 «Про затвердження примірної методики визначення очікуваної вартості предмета закупівлі», шляхом аналізу ринку через використання загальнодоступної інформації (сайти виробників та/або постачальників відповідної продукції та електронної системи закупівель "</w:t>
            </w:r>
            <w:proofErr w:type="spellStart"/>
            <w:r w:rsidRPr="00180C2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Prozorro</w:t>
            </w:r>
            <w:proofErr w:type="spellEnd"/>
            <w:r w:rsidRPr="00180C2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"), проведення ринкових консультацій методом порівняння ринкових цін. </w:t>
            </w:r>
            <w:r w:rsidR="007D63FB" w:rsidRPr="00180C2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Таким чином, очікувану вартість обладнання визначено на підставі отриманих цінови</w:t>
            </w:r>
            <w:r w:rsidR="00180C2D" w:rsidRPr="00180C2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х</w:t>
            </w:r>
            <w:r w:rsidR="007D63FB" w:rsidRPr="00180C2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пропозицій від ринку, закупівельних цін попередніх закупівель на аналогічне медичне обладнання</w:t>
            </w:r>
            <w:r w:rsidR="00180C2D" w:rsidRPr="00180C2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</w:t>
            </w:r>
            <w:r w:rsidR="007D63FB" w:rsidRPr="00180C2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закупленого медичними закладами України через систему закупівель "</w:t>
            </w:r>
            <w:proofErr w:type="spellStart"/>
            <w:r w:rsidR="007D63FB" w:rsidRPr="00180C2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Prozorro</w:t>
            </w:r>
            <w:proofErr w:type="spellEnd"/>
            <w:r w:rsidR="007D63FB" w:rsidRPr="00180C2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"</w:t>
            </w:r>
            <w:r w:rsidR="00180C2D" w:rsidRPr="00180C2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</w:t>
            </w:r>
            <w:r w:rsidR="007D63FB" w:rsidRPr="00180C2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та з врахування власних потреб щодо комплектації такого обладнання:</w:t>
            </w:r>
          </w:p>
          <w:p w:rsidR="00383984" w:rsidRPr="00383984" w:rsidRDefault="00383984" w:rsidP="003C05E1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38398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https://prozorro.gov.ua/tender/UA-2021-09-17-003887-c</w:t>
            </w:r>
          </w:p>
          <w:p w:rsidR="005826A5" w:rsidRPr="00383984" w:rsidRDefault="0083691C" w:rsidP="00F6749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hyperlink r:id="rId8" w:history="1">
              <w:r w:rsidR="00383984" w:rsidRPr="0038398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8"/>
                  <w:lang w:val="uk-UA"/>
                </w:rPr>
                <w:t>https://prozorro.gov.ua/tender/UA-2021-10-13-005416-c</w:t>
              </w:r>
            </w:hyperlink>
            <w:r w:rsidR="00383984" w:rsidRPr="0038398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;</w:t>
            </w:r>
          </w:p>
          <w:p w:rsidR="00383984" w:rsidRDefault="0083691C" w:rsidP="00F6749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hyperlink r:id="rId9" w:history="1">
              <w:r w:rsidR="00383984" w:rsidRPr="0038398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8"/>
                  <w:lang w:val="uk-UA"/>
                </w:rPr>
                <w:t>https://prozorro.gov.ua/tender/UA-2021-10-08-002087-a</w:t>
              </w:r>
            </w:hyperlink>
          </w:p>
          <w:p w:rsidR="00383984" w:rsidRPr="00180C2D" w:rsidRDefault="00383984" w:rsidP="00F6749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180C2D" w:rsidRPr="00EA7FD0" w:rsidTr="007D63FB">
        <w:tc>
          <w:tcPr>
            <w:tcW w:w="3681" w:type="dxa"/>
          </w:tcPr>
          <w:p w:rsidR="00180C2D" w:rsidRPr="00180C2D" w:rsidRDefault="00180C2D" w:rsidP="0015254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180C2D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082" w:type="dxa"/>
          </w:tcPr>
          <w:p w:rsidR="00180C2D" w:rsidRPr="00180C2D" w:rsidRDefault="00180C2D" w:rsidP="00180C2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180C2D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Технічні та якісні характеристики предмета закупівлі складені  відповідно до потреб КНП «Міський пологовий будинок № 1» ХМР та  Постави КМУ від 2 жовтня 2013 р. № 753 «Про затвердження Технічного регламенту щодо медичних виробів».</w:t>
            </w:r>
          </w:p>
        </w:tc>
      </w:tr>
    </w:tbl>
    <w:p w:rsidR="005826A5" w:rsidRPr="00180C2D" w:rsidRDefault="005826A5" w:rsidP="00152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A73F4E" w:rsidRPr="00180C2D" w:rsidRDefault="00784216" w:rsidP="00180C2D">
      <w:pPr>
        <w:spacing w:after="0" w:line="240" w:lineRule="auto"/>
        <w:ind w:firstLine="709"/>
        <w:jc w:val="both"/>
        <w:rPr>
          <w:rStyle w:val="m-7935330470125315180xfm38114850"/>
          <w:rFonts w:ascii="Times New Roman" w:hAnsi="Times New Roman" w:cs="Times New Roman"/>
          <w:sz w:val="24"/>
          <w:szCs w:val="28"/>
          <w:lang w:val="uk-UA"/>
        </w:rPr>
      </w:pPr>
      <w:r w:rsidRPr="00180C2D">
        <w:rPr>
          <w:rFonts w:ascii="Times New Roman" w:hAnsi="Times New Roman" w:cs="Times New Roman"/>
          <w:sz w:val="24"/>
          <w:szCs w:val="28"/>
          <w:lang w:val="uk-UA"/>
        </w:rPr>
        <w:tab/>
      </w:r>
    </w:p>
    <w:p w:rsidR="009C2734" w:rsidRPr="00180C2D" w:rsidRDefault="009C2734" w:rsidP="00A73F4E">
      <w:pPr>
        <w:tabs>
          <w:tab w:val="left" w:pos="1590"/>
        </w:tabs>
        <w:rPr>
          <w:rFonts w:ascii="Times New Roman" w:hAnsi="Times New Roman" w:cs="Times New Roman"/>
          <w:sz w:val="24"/>
          <w:szCs w:val="28"/>
          <w:lang w:val="uk-UA"/>
        </w:rPr>
      </w:pPr>
    </w:p>
    <w:sectPr w:rsidR="009C2734" w:rsidRPr="00180C2D" w:rsidSect="00EF365F">
      <w:pgSz w:w="11906" w:h="16838"/>
      <w:pgMar w:top="1134" w:right="282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765" w:rsidRDefault="00C10765" w:rsidP="00A250FF">
      <w:pPr>
        <w:spacing w:after="0" w:line="240" w:lineRule="auto"/>
      </w:pPr>
      <w:r>
        <w:separator/>
      </w:r>
    </w:p>
  </w:endnote>
  <w:endnote w:type="continuationSeparator" w:id="0">
    <w:p w:rsidR="00C10765" w:rsidRDefault="00C10765" w:rsidP="00A25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765" w:rsidRDefault="00C10765" w:rsidP="00A250FF">
      <w:pPr>
        <w:spacing w:after="0" w:line="240" w:lineRule="auto"/>
      </w:pPr>
      <w:r>
        <w:separator/>
      </w:r>
    </w:p>
  </w:footnote>
  <w:footnote w:type="continuationSeparator" w:id="0">
    <w:p w:rsidR="00C10765" w:rsidRDefault="00C10765" w:rsidP="00A250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06F77"/>
    <w:multiLevelType w:val="hybridMultilevel"/>
    <w:tmpl w:val="5382FDEA"/>
    <w:lvl w:ilvl="0" w:tplc="4314DB16">
      <w:start w:val="3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D6A079E"/>
    <w:multiLevelType w:val="hybridMultilevel"/>
    <w:tmpl w:val="D29C48AC"/>
    <w:lvl w:ilvl="0" w:tplc="8A6832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E359C8"/>
    <w:multiLevelType w:val="hybridMultilevel"/>
    <w:tmpl w:val="4BF8DF6C"/>
    <w:lvl w:ilvl="0" w:tplc="B814535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8351DB"/>
    <w:multiLevelType w:val="hybridMultilevel"/>
    <w:tmpl w:val="B3704832"/>
    <w:lvl w:ilvl="0" w:tplc="1990F7A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BF1D72"/>
    <w:multiLevelType w:val="hybridMultilevel"/>
    <w:tmpl w:val="B3EE240A"/>
    <w:lvl w:ilvl="0" w:tplc="91E8F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1A8281A"/>
    <w:multiLevelType w:val="multilevel"/>
    <w:tmpl w:val="70E69B8A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79475FCA"/>
    <w:multiLevelType w:val="hybridMultilevel"/>
    <w:tmpl w:val="194020B0"/>
    <w:lvl w:ilvl="0" w:tplc="8A683252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7E45795C"/>
    <w:multiLevelType w:val="hybridMultilevel"/>
    <w:tmpl w:val="8682B312"/>
    <w:lvl w:ilvl="0" w:tplc="8A6832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4597"/>
    <w:rsid w:val="00051FEB"/>
    <w:rsid w:val="000D42EC"/>
    <w:rsid w:val="00120826"/>
    <w:rsid w:val="0012287D"/>
    <w:rsid w:val="00136D3E"/>
    <w:rsid w:val="00152548"/>
    <w:rsid w:val="00160AB3"/>
    <w:rsid w:val="00163513"/>
    <w:rsid w:val="001717D3"/>
    <w:rsid w:val="0017621E"/>
    <w:rsid w:val="00180C2D"/>
    <w:rsid w:val="00192784"/>
    <w:rsid w:val="0019313E"/>
    <w:rsid w:val="001A7BE1"/>
    <w:rsid w:val="001C611E"/>
    <w:rsid w:val="001F194F"/>
    <w:rsid w:val="00260106"/>
    <w:rsid w:val="002616D3"/>
    <w:rsid w:val="00280E2C"/>
    <w:rsid w:val="00281567"/>
    <w:rsid w:val="002C6A90"/>
    <w:rsid w:val="002E271F"/>
    <w:rsid w:val="002F0E4A"/>
    <w:rsid w:val="002F20ED"/>
    <w:rsid w:val="0030438E"/>
    <w:rsid w:val="00325680"/>
    <w:rsid w:val="0032779A"/>
    <w:rsid w:val="00332416"/>
    <w:rsid w:val="00335F0B"/>
    <w:rsid w:val="00383984"/>
    <w:rsid w:val="00394BC9"/>
    <w:rsid w:val="003A4585"/>
    <w:rsid w:val="003A5F0E"/>
    <w:rsid w:val="003C05E1"/>
    <w:rsid w:val="003F73E3"/>
    <w:rsid w:val="00407EF7"/>
    <w:rsid w:val="00412616"/>
    <w:rsid w:val="004135E4"/>
    <w:rsid w:val="004443A1"/>
    <w:rsid w:val="00454870"/>
    <w:rsid w:val="0046449C"/>
    <w:rsid w:val="00464711"/>
    <w:rsid w:val="004A6400"/>
    <w:rsid w:val="004D5C06"/>
    <w:rsid w:val="004D6B2B"/>
    <w:rsid w:val="005308BA"/>
    <w:rsid w:val="0054245F"/>
    <w:rsid w:val="00547939"/>
    <w:rsid w:val="00570305"/>
    <w:rsid w:val="005826A5"/>
    <w:rsid w:val="005844F7"/>
    <w:rsid w:val="00616B70"/>
    <w:rsid w:val="00674937"/>
    <w:rsid w:val="00693961"/>
    <w:rsid w:val="006E0C6B"/>
    <w:rsid w:val="00712CE1"/>
    <w:rsid w:val="00732D2B"/>
    <w:rsid w:val="007425BA"/>
    <w:rsid w:val="00755A50"/>
    <w:rsid w:val="007601F7"/>
    <w:rsid w:val="00784216"/>
    <w:rsid w:val="0079694B"/>
    <w:rsid w:val="007D17B5"/>
    <w:rsid w:val="007D63FB"/>
    <w:rsid w:val="007E2FD7"/>
    <w:rsid w:val="00816A56"/>
    <w:rsid w:val="00836177"/>
    <w:rsid w:val="0083691C"/>
    <w:rsid w:val="00841F10"/>
    <w:rsid w:val="00855357"/>
    <w:rsid w:val="00864D35"/>
    <w:rsid w:val="0086624F"/>
    <w:rsid w:val="00882151"/>
    <w:rsid w:val="008B18A1"/>
    <w:rsid w:val="008B621C"/>
    <w:rsid w:val="008D0C35"/>
    <w:rsid w:val="008D0C6C"/>
    <w:rsid w:val="00901734"/>
    <w:rsid w:val="00907249"/>
    <w:rsid w:val="009143C7"/>
    <w:rsid w:val="009555B8"/>
    <w:rsid w:val="009743C5"/>
    <w:rsid w:val="009750BC"/>
    <w:rsid w:val="00985667"/>
    <w:rsid w:val="009B3A6C"/>
    <w:rsid w:val="009B3CD3"/>
    <w:rsid w:val="009C2734"/>
    <w:rsid w:val="009E6A35"/>
    <w:rsid w:val="009F39DA"/>
    <w:rsid w:val="009F50B7"/>
    <w:rsid w:val="00A20524"/>
    <w:rsid w:val="00A21767"/>
    <w:rsid w:val="00A250FF"/>
    <w:rsid w:val="00A42474"/>
    <w:rsid w:val="00A73F4E"/>
    <w:rsid w:val="00A87504"/>
    <w:rsid w:val="00AA49A7"/>
    <w:rsid w:val="00AB335F"/>
    <w:rsid w:val="00AF36B0"/>
    <w:rsid w:val="00B173B1"/>
    <w:rsid w:val="00B70462"/>
    <w:rsid w:val="00B971C9"/>
    <w:rsid w:val="00B97D8A"/>
    <w:rsid w:val="00BD3A0A"/>
    <w:rsid w:val="00BE259D"/>
    <w:rsid w:val="00C10765"/>
    <w:rsid w:val="00C376FE"/>
    <w:rsid w:val="00C6072C"/>
    <w:rsid w:val="00C65F11"/>
    <w:rsid w:val="00C721EF"/>
    <w:rsid w:val="00CE75EA"/>
    <w:rsid w:val="00D04BD2"/>
    <w:rsid w:val="00D17CE9"/>
    <w:rsid w:val="00D56B6F"/>
    <w:rsid w:val="00D73026"/>
    <w:rsid w:val="00D73E60"/>
    <w:rsid w:val="00D822FE"/>
    <w:rsid w:val="00DA2976"/>
    <w:rsid w:val="00DB22DD"/>
    <w:rsid w:val="00DC5BBD"/>
    <w:rsid w:val="00DF4188"/>
    <w:rsid w:val="00E0746E"/>
    <w:rsid w:val="00E472A2"/>
    <w:rsid w:val="00E907BC"/>
    <w:rsid w:val="00EA7FD0"/>
    <w:rsid w:val="00EB4DBE"/>
    <w:rsid w:val="00ED4597"/>
    <w:rsid w:val="00ED7845"/>
    <w:rsid w:val="00EF365F"/>
    <w:rsid w:val="00EF6D7B"/>
    <w:rsid w:val="00F06357"/>
    <w:rsid w:val="00F26C94"/>
    <w:rsid w:val="00F6749D"/>
    <w:rsid w:val="00FA2EC5"/>
    <w:rsid w:val="00FF4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841F10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9F39D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143C7"/>
    <w:rPr>
      <w:color w:val="0000FF"/>
      <w:u w:val="single"/>
    </w:rPr>
  </w:style>
  <w:style w:type="character" w:styleId="a5">
    <w:name w:val="Strong"/>
    <w:basedOn w:val="a0"/>
    <w:uiPriority w:val="22"/>
    <w:qFormat/>
    <w:rsid w:val="00412616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A25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250FF"/>
  </w:style>
  <w:style w:type="paragraph" w:styleId="a8">
    <w:name w:val="footer"/>
    <w:basedOn w:val="a"/>
    <w:link w:val="a9"/>
    <w:uiPriority w:val="99"/>
    <w:semiHidden/>
    <w:unhideWhenUsed/>
    <w:rsid w:val="00A25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250FF"/>
  </w:style>
  <w:style w:type="character" w:customStyle="1" w:styleId="m-7935330470125315180xfm38114850">
    <w:name w:val="m_-7935330470125315180xfm_38114850"/>
    <w:basedOn w:val="a0"/>
    <w:rsid w:val="00A73F4E"/>
  </w:style>
  <w:style w:type="character" w:customStyle="1" w:styleId="9pt0pt">
    <w:name w:val="9pt0pt"/>
    <w:basedOn w:val="a0"/>
    <w:rsid w:val="00882151"/>
  </w:style>
  <w:style w:type="character" w:styleId="aa">
    <w:name w:val="FollowedHyperlink"/>
    <w:basedOn w:val="a0"/>
    <w:uiPriority w:val="99"/>
    <w:semiHidden/>
    <w:unhideWhenUsed/>
    <w:rsid w:val="009B3CD3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582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3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1-10-13-005416-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zorro.gov.ua/plan/UA-P-2021-11-03-007109-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ozorro.gov.ua/tender/UA-2021-10-08-002087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 Боровський</dc:creator>
  <cp:lastModifiedBy>User</cp:lastModifiedBy>
  <cp:revision>2</cp:revision>
  <cp:lastPrinted>2021-01-22T07:43:00Z</cp:lastPrinted>
  <dcterms:created xsi:type="dcterms:W3CDTF">2021-11-03T11:08:00Z</dcterms:created>
  <dcterms:modified xsi:type="dcterms:W3CDTF">2021-11-03T11:08:00Z</dcterms:modified>
</cp:coreProperties>
</file>